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2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52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ПРОЕКТ ДОКЛАД</w:t>
      </w:r>
      <w:r>
        <w:rPr>
          <w:color w:val="auto"/>
        </w:rPr>
        <w:t xml:space="preserve">А</w:t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ЗА 12 МЕСЯЦЕВ 2025 ГОДА»</w:t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32"/>
        <w:rPr>
          <w:color w:val="auto"/>
        </w:rPr>
      </w:pPr>
      <w:r>
        <w:rPr>
          <w:color w:val="auto"/>
        </w:rPr>
        <w:t xml:space="preserve">2026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7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</w:t>
      </w:r>
      <w:r>
        <w:rPr>
          <w:color w:val="auto"/>
          <w:highlight w:val="white"/>
        </w:rPr>
        <w:t xml:space="preserve">лад составлен в целях реализации пункта 4.3 паспорта ведо</w:t>
      </w:r>
      <w:r>
        <w:rPr>
          <w:color w:val="auto"/>
          <w:highlight w:val="white"/>
        </w:rPr>
        <w:t xml:space="preserve">м</w:t>
      </w:r>
      <w:r>
        <w:rPr>
          <w:color w:val="auto"/>
          <w:highlight w:val="white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8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 органами</w:t>
      </w:r>
      <w:r>
        <w:rPr>
          <w:color w:val="auto"/>
          <w:highlight w:val="white"/>
        </w:rPr>
        <w:t xml:space="preserve"> федерал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законов и иных нормативных правовых актов </w:t>
      </w:r>
      <w:r>
        <w:rPr>
          <w:color w:val="auto"/>
          <w:highlight w:val="white"/>
        </w:rPr>
        <w:t xml:space="preserve">Российской Федерации</w:t>
      </w:r>
      <w:r>
        <w:rPr>
          <w:color w:val="auto"/>
          <w:highlight w:val="white"/>
        </w:rPr>
        <w:t xml:space="preserve">, иных нормативных документов, обязательность применения </w:t>
      </w:r>
      <w:r>
        <w:rPr>
          <w:color w:val="auto"/>
          <w:highlight w:val="white"/>
        </w:rPr>
        <w:t xml:space="preserve">которых установлена</w:t>
      </w:r>
      <w:r>
        <w:rPr>
          <w:color w:val="auto"/>
          <w:highlight w:val="white"/>
        </w:rPr>
        <w:t xml:space="preserve"> зак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r>
        <w:rPr>
          <w:color w:val="auto"/>
          <w:highlight w:val="white"/>
        </w:rPr>
        <w:t xml:space="preserve">контрольно</w:t>
      </w:r>
      <w:r>
        <w:rPr>
          <w:color w:val="auto"/>
          <w:highlight w:val="white"/>
        </w:rPr>
        <w:t xml:space="preserve">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8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территориальнымиорганами</w:t>
      </w:r>
      <w:r>
        <w:rPr>
          <w:color w:val="auto"/>
          <w:highlight w:val="white"/>
        </w:rPr>
        <w:t xml:space="preserve"> обязател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</w:t>
      </w:r>
      <w:r>
        <w:rPr>
          <w:color w:val="auto"/>
          <w:highlight w:val="white"/>
        </w:rPr>
        <w:t xml:space="preserve">внесение предложений</w:t>
      </w:r>
      <w:r>
        <w:rPr>
          <w:color w:val="auto"/>
          <w:highlight w:val="white"/>
        </w:rPr>
        <w:t xml:space="preserve">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numPr>
          <w:ilvl w:val="0"/>
          <w:numId w:val="0"/>
        </w:numPr>
        <w:contextualSpacing w:val="0"/>
        <w:ind w:left="709" w:firstLine="0"/>
        <w:spacing w:line="276" w:lineRule="auto"/>
        <w:rPr>
          <w:color w:val="auto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white"/>
        </w:rPr>
      </w:r>
    </w:p>
    <w:p>
      <w:pPr>
        <w:pStyle w:val="968"/>
        <w:numPr>
          <w:ilvl w:val="0"/>
          <w:numId w:val="2"/>
        </w:numPr>
        <w:contextualSpacing w:val="0"/>
        <w:jc w:val="center"/>
        <w:spacing w:line="276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0"/>
        <w:ind w:firstLine="567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сит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70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numPr>
          <w:ilvl w:val="0"/>
          <w:numId w:val="0"/>
        </w:numPr>
        <w:contextualSpacing w:val="0"/>
        <w:ind w:firstLine="567"/>
        <w:spacing w:line="276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</w:t>
      </w:r>
      <w:r>
        <w:rPr>
          <w:color w:val="auto"/>
          <w:highlight w:val="white"/>
        </w:rPr>
        <w:t xml:space="preserve">основе риск</w:t>
      </w:r>
      <w:r>
        <w:rPr>
          <w:color w:val="auto"/>
          <w:highlight w:val="white"/>
        </w:rPr>
        <w:t xml:space="preserve">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 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8"/>
        <w:numPr>
          <w:ilvl w:val="0"/>
          <w:numId w:val="3"/>
        </w:numPr>
        <w:ind w:left="0" w:firstLine="0"/>
        <w:jc w:val="center"/>
        <w:spacing w:before="0" w:after="0" w:line="276" w:lineRule="auto"/>
        <w:shd w:val="clear" w:color="auto" w:fill="auto"/>
        <w:rPr>
          <w:b/>
          <w:i w:val="0"/>
          <w:color w:val="auto"/>
          <w:highlight w:val="none"/>
        </w:rPr>
      </w:pPr>
      <w:r>
        <w:rPr>
          <w:b/>
          <w:i w:val="0"/>
          <w:color w:val="auto"/>
          <w:highlight w:val="none"/>
        </w:rPr>
        <w:t xml:space="preserve">Результаты контрольно-надзорной деятельности за 12 месяцев 2025г.</w:t>
      </w:r>
      <w:r>
        <w:rPr>
          <w:b/>
          <w:i w:val="0"/>
          <w:color w:val="auto"/>
          <w:highlight w:val="none"/>
        </w:rPr>
      </w:r>
      <w:r>
        <w:rPr>
          <w:b/>
          <w:i w:val="0"/>
          <w:color w:val="auto"/>
          <w:highlight w:val="none"/>
        </w:rPr>
      </w:r>
    </w:p>
    <w:p>
      <w:pPr>
        <w:pStyle w:val="958"/>
        <w:jc w:val="center"/>
        <w:spacing w:before="0" w:after="0" w:line="276" w:lineRule="auto"/>
        <w:shd w:val="clear" w:color="auto" w:fill="auto"/>
        <w:rPr>
          <w:b/>
          <w:bCs w:val="0"/>
          <w:i w:val="0"/>
          <w:color w:val="auto"/>
          <w:highlight w:val="none"/>
        </w:rPr>
      </w:pPr>
      <w:r>
        <w:rPr>
          <w:b/>
          <w:i w:val="0"/>
          <w:color w:val="auto"/>
          <w:highlight w:val="none"/>
        </w:rPr>
      </w:r>
      <w:r>
        <w:rPr>
          <w:b/>
          <w:bCs w:val="0"/>
          <w:i w:val="0"/>
          <w:color w:val="auto"/>
          <w:highlight w:val="none"/>
        </w:rPr>
      </w:r>
      <w:r>
        <w:rPr>
          <w:b/>
          <w:bCs w:val="0"/>
          <w:i w:val="0"/>
          <w:color w:val="auto"/>
          <w:highlight w:val="none"/>
        </w:rPr>
      </w:r>
    </w:p>
    <w:p>
      <w:pPr>
        <w:ind w:firstLine="851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Работниками Управления за 12 мес. 2025 г. проведено 28  проверок по обеспечению безопасности движения,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- 7 плановые выездные  проверки;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- 21 внеплановые выездных проверки.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71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В ходе проверок выявлено 1807 нарушений обязательных требований, в том числе 1281  нарушение,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1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За отчетный период  выдано 28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1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зованием мобильного приложения «МП.Инспектор» проведено 8 выездных проверок.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971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Руководителям предприятий объявлено 2167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1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Инспектора Управления участвовали  297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971"/>
        <w:ind w:firstLine="652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green"/>
        </w:rPr>
      </w:pPr>
      <w:r>
        <w:rPr>
          <w:rFonts w:ascii="Times New Roman" w:hAnsi="Times New Roman"/>
          <w:b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green"/>
        </w:rPr>
      </w:r>
    </w:p>
    <w:p>
      <w:pPr>
        <w:pStyle w:val="963"/>
        <w:numPr>
          <w:ilvl w:val="1"/>
          <w:numId w:val="9"/>
        </w:numPr>
        <w:ind w:left="0" w:firstLine="652"/>
        <w:jc w:val="center"/>
        <w:spacing w:before="0" w:after="0" w:line="276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70"/>
        <w:ind w:firstLine="652"/>
        <w:jc w:val="both"/>
        <w:spacing w:line="276" w:lineRule="auto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70"/>
        <w:ind w:firstLine="652"/>
        <w:jc w:val="both"/>
        <w:spacing w:line="276" w:lineRule="auto"/>
        <w:rPr>
          <w:szCs w:val="28"/>
          <w:highlight w:val="non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</w:t>
      </w:r>
      <w:r>
        <w:rPr>
          <w:szCs w:val="28"/>
          <w:highlight w:val="none"/>
        </w:rPr>
        <w:t xml:space="preserve">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none"/>
        </w:rPr>
        <w:t xml:space="preserve">е</w:t>
      </w:r>
      <w:r>
        <w:rPr>
          <w:szCs w:val="28"/>
          <w:highlight w:val="non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none"/>
        </w:rPr>
        <w:t xml:space="preserve">Ространснадзор</w:t>
      </w:r>
      <w:r>
        <w:rPr>
          <w:szCs w:val="28"/>
          <w:highlight w:val="non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none"/>
        </w:rPr>
        <w:t xml:space="preserve">н</w:t>
      </w:r>
      <w:r>
        <w:rPr>
          <w:szCs w:val="28"/>
          <w:highlight w:val="none"/>
        </w:rPr>
        <w:t xml:space="preserve">троля (надзора)».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spacing w:line="276" w:lineRule="auto"/>
        <w:shd w:val="clear" w:color="auto" w:fill="auto"/>
        <w:rPr>
          <w:highlight w:val="none"/>
        </w:rPr>
      </w:pPr>
      <w:r>
        <w:rPr>
          <w:highlight w:val="none"/>
        </w:rPr>
        <w:t xml:space="preserve">С 31.05.2024 года Уведомление представляется юридическим лицом, инд</w:t>
      </w:r>
      <w:r>
        <w:rPr>
          <w:highlight w:val="none"/>
        </w:rPr>
        <w:t xml:space="preserve">и</w:t>
      </w:r>
      <w:r>
        <w:rPr>
          <w:highlight w:val="none"/>
        </w:rPr>
        <w:t xml:space="preserve">видуальным предпринимателем в </w:t>
      </w:r>
      <w:r>
        <w:rPr>
          <w:highlight w:val="none"/>
        </w:rPr>
        <w:t xml:space="preserve">Ространснадзора</w:t>
      </w:r>
      <w:r>
        <w:rPr>
          <w:highlight w:val="none"/>
        </w:rPr>
        <w:t xml:space="preserve"> только посредством </w:t>
      </w:r>
      <w:hyperlink r:id="rId14" w:tooltip="https://www.gosuslugi.ru/" w:history="1">
        <w:r>
          <w:rPr>
            <w:highlight w:val="none"/>
          </w:rPr>
          <w:t xml:space="preserve">Единого портала</w:t>
        </w:r>
      </w:hyperlink>
      <w:r>
        <w:rPr>
          <w:highlight w:val="none"/>
        </w:rPr>
        <w:t xml:space="preserve"> государственных и муниципальных услуг.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spacing w:line="276" w:lineRule="auto"/>
        <w:shd w:val="clear" w:color="auto" w:fill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7"/>
        <w:numPr>
          <w:ilvl w:val="1"/>
          <w:numId w:val="4"/>
        </w:numPr>
        <w:ind w:left="0" w:firstLine="0"/>
        <w:jc w:val="center"/>
        <w:spacing w:line="276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Профилактическая работа.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67"/>
        <w:ind w:left="0" w:firstLine="0"/>
        <w:spacing w:line="276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 12 месяцев 2025 года проведено </w:t>
      </w:r>
      <w:r>
        <w:rPr>
          <w:sz w:val="28"/>
          <w:szCs w:val="28"/>
          <w:highlight w:val="none"/>
        </w:rPr>
        <w:t xml:space="preserve">6256 </w:t>
      </w:r>
      <w:r>
        <w:rPr>
          <w:sz w:val="28"/>
          <w:szCs w:val="28"/>
          <w:highlight w:val="none"/>
        </w:rPr>
        <w:t xml:space="preserve">профилактических мероприятий, в том числе: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организовано и проведено 8 семинаров – совещаний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none"/>
        </w:rPr>
        <w:t xml:space="preserve">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уководителям предприятий объявлено 2167 предостережений о нед</w:t>
      </w:r>
      <w:r>
        <w:rPr>
          <w:sz w:val="28"/>
          <w:szCs w:val="28"/>
          <w:highlight w:val="none"/>
        </w:rPr>
        <w:t xml:space="preserve">опустимости нарушения обязательных требований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роведено 5 профилактических визитов по инициативе контролируемого лица, из них 4 с</w:t>
      </w:r>
      <w:r>
        <w:rPr>
          <w:sz w:val="28"/>
          <w:szCs w:val="28"/>
          <w:highlight w:val="none"/>
        </w:rPr>
        <w:t xml:space="preserve"> помощью мобильного приложения «МП.Инспектор»;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7"/>
        <w:numPr>
          <w:ilvl w:val="0"/>
          <w:numId w:val="11"/>
        </w:numPr>
        <w:ind w:left="0" w:right="0" w:firstLine="425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val="ru-RU" w:eastAsia="ru-RU"/>
        </w:rPr>
        <w:t xml:space="preserve">проведено в соответствии с планом-графиком 9 публичных обсуждений правоприменительной практики.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Осуществлено 2773 консультирований контролируемых лиц по вопросам </w:t>
      </w:r>
      <w:r>
        <w:rPr>
          <w:sz w:val="28"/>
          <w:szCs w:val="28"/>
          <w:highlight w:val="non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none"/>
          <w:lang w:val="ru-RU"/>
        </w:rPr>
        <w:t xml:space="preserve">С использованием мобильного приложения «МП.Инспектор» проведено 14 консультирований.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Внесено 276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течение отчетного периода подготовлено и опубликовано 22 </w:t>
      </w:r>
      <w:r>
        <w:rPr>
          <w:sz w:val="28"/>
          <w:szCs w:val="28"/>
          <w:highlight w:val="none"/>
        </w:rPr>
        <w:t xml:space="preserve">статьи в СМИ, в том числе в соцсетях Управления.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сайте Управления регулярно размещается информация о транспортных происшествиях и результатах расследований, а также актуальные изменения законодательства в сфере железнодорожного  транспорта. Контролируемым лицам направлено 654 </w:t>
      </w:r>
      <w:r>
        <w:rPr>
          <w:sz w:val="28"/>
          <w:szCs w:val="28"/>
          <w:highlight w:val="none"/>
        </w:rPr>
        <w:t xml:space="preserve">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none"/>
          <w:lang w:eastAsia="ru-RU"/>
        </w:rPr>
        <w:t xml:space="preserve">ж</w:t>
      </w:r>
      <w:r>
        <w:rPr>
          <w:b/>
          <w:color w:val="auto"/>
          <w:highlight w:val="none"/>
          <w:lang w:eastAsia="ru-RU"/>
        </w:rPr>
        <w:t xml:space="preserve">ном транспорте.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bCs/>
          <w:highlight w:val="none"/>
        </w:rPr>
      </w:pP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а 12</w:t>
      </w:r>
      <w:r>
        <w:rPr>
          <w:bCs/>
          <w:highlight w:val="none"/>
        </w:rPr>
        <w:t xml:space="preserve"> месяцев 2025 года было проведено  1330  выездных обследований </w:t>
      </w:r>
      <w:bookmarkStart w:id="0" w:name="undefined"/>
      <w:r>
        <w:rPr>
          <w:highlight w:val="none"/>
        </w:rPr>
      </w:r>
      <w:bookmarkEnd w:id="0"/>
      <w:r>
        <w:rPr>
          <w:bCs/>
          <w:highlight w:val="none"/>
        </w:rPr>
        <w:t xml:space="preserve">объектов контроля на железнодорожном транспорте.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 ходе выездных обследов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ний осмотрено </w:t>
      </w:r>
      <w:r>
        <w:rPr>
          <w:bCs/>
          <w:highlight w:val="none"/>
        </w:rPr>
        <w:t xml:space="preserve">17523</w:t>
      </w:r>
      <w:r>
        <w:rPr>
          <w:bCs/>
          <w:highlight w:val="none"/>
        </w:rPr>
        <w:t xml:space="preserve"> объектов контроля, из них </w:t>
      </w:r>
      <w:r>
        <w:rPr>
          <w:bCs/>
          <w:highlight w:val="none"/>
        </w:rPr>
        <w:t xml:space="preserve">9653</w:t>
      </w:r>
      <w:r>
        <w:rPr>
          <w:bCs/>
          <w:highlight w:val="none"/>
        </w:rPr>
        <w:t xml:space="preserve"> единиц подвижного состава и 7606</w:t>
      </w:r>
      <w:r>
        <w:rPr>
          <w:bCs/>
          <w:highlight w:val="none"/>
        </w:rPr>
        <w:t xml:space="preserve"> объект инфраструктуры железнодорожного транспорта общего пользов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ния (вокзалы, платформы, </w:t>
      </w:r>
      <w:r>
        <w:rPr>
          <w:bCs/>
          <w:highlight w:val="none"/>
        </w:rPr>
        <w:t xml:space="preserve">жд</w:t>
      </w:r>
      <w:r>
        <w:rPr>
          <w:bCs/>
          <w:highlight w:val="none"/>
        </w:rPr>
        <w:t xml:space="preserve">. переезды, остановочные площадки, пешеходные пер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ходы,</w:t>
      </w:r>
      <w:r>
        <w:rPr>
          <w:bCs/>
          <w:highlight w:val="none"/>
        </w:rPr>
        <w:t xml:space="preserve"> мосты и другие искусственные сооружения). Выявлено - </w:t>
      </w:r>
      <w:r>
        <w:rPr>
          <w:bCs/>
          <w:highlight w:val="none"/>
        </w:rPr>
        <w:t xml:space="preserve">18289</w:t>
      </w:r>
      <w:r>
        <w:rPr>
          <w:bCs/>
          <w:highlight w:val="none"/>
        </w:rPr>
        <w:t xml:space="preserve"> 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В эксплуатации осмотрено </w:t>
      </w:r>
      <w:r>
        <w:rPr>
          <w:bCs/>
          <w:highlight w:val="none"/>
        </w:rPr>
        <w:t xml:space="preserve">5212</w:t>
      </w:r>
      <w:r>
        <w:rPr>
          <w:bCs/>
          <w:highlight w:val="none"/>
        </w:rPr>
        <w:t xml:space="preserve"> грузовых вагонов, выявлено </w:t>
      </w:r>
      <w:r>
        <w:rPr>
          <w:bCs/>
          <w:highlight w:val="none"/>
        </w:rPr>
        <w:t xml:space="preserve">6318</w:t>
      </w:r>
      <w:r>
        <w:rPr>
          <w:bCs/>
          <w:highlight w:val="none"/>
        </w:rPr>
        <w:t xml:space="preserve"> наруш</w:t>
      </w:r>
      <w:r>
        <w:rPr>
          <w:bCs/>
          <w:highlight w:val="none"/>
        </w:rPr>
        <w:t xml:space="preserve">е</w:t>
      </w:r>
      <w:r>
        <w:rPr>
          <w:bCs/>
          <w:highlight w:val="none"/>
        </w:rPr>
        <w:t xml:space="preserve">ний.</w:t>
      </w: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По результатам осмотров в текущий </w:t>
      </w:r>
      <w:r>
        <w:rPr>
          <w:bCs/>
          <w:highlight w:val="none"/>
        </w:rPr>
        <w:t xml:space="preserve">отцепочный</w:t>
      </w:r>
      <w:r>
        <w:rPr>
          <w:bCs/>
          <w:highlight w:val="none"/>
        </w:rPr>
        <w:t xml:space="preserve"> ремонт направлено 2451</w:t>
      </w:r>
      <w:r>
        <w:rPr>
          <w:bCs/>
          <w:highlight w:val="none"/>
        </w:rPr>
        <w:t xml:space="preserve"> гр</w:t>
      </w:r>
      <w:r>
        <w:rPr>
          <w:bCs/>
          <w:highlight w:val="none"/>
        </w:rPr>
        <w:t xml:space="preserve">у</w:t>
      </w: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вых вагонов.</w:t>
      </w:r>
      <w:r>
        <w:rPr>
          <w:bCs/>
          <w:highlight w:val="none"/>
        </w:rPr>
        <w:t xml:space="preserve"> 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rPr>
          <w:bCs/>
          <w:highlight w:val="none"/>
        </w:rPr>
      </w:pPr>
      <w:r>
        <w:rPr>
          <w:bCs/>
          <w:highlight w:val="none"/>
        </w:rPr>
        <w:t xml:space="preserve"> </w:t>
      </w:r>
      <w:r>
        <w:rPr>
          <w:bCs/>
          <w:highlight w:val="none"/>
        </w:rPr>
        <w:t xml:space="preserve">В период с апреля по с</w:t>
      </w:r>
      <w:r>
        <w:rPr>
          <w:bCs/>
          <w:highlight w:val="none"/>
        </w:rPr>
        <w:t xml:space="preserve">ентябрь 2025г. проведено 19 </w:t>
      </w:r>
      <w:r>
        <w:rPr>
          <w:bCs/>
          <w:highlight w:val="none"/>
        </w:rPr>
        <w:t xml:space="preserve">выездных</w:t>
      </w:r>
      <w:r>
        <w:rPr>
          <w:bCs/>
          <w:highlight w:val="none"/>
        </w:rPr>
        <w:t xml:space="preserve"> обследов</w:t>
      </w:r>
      <w:r>
        <w:rPr>
          <w:bCs/>
          <w:highlight w:val="none"/>
        </w:rPr>
        <w:t xml:space="preserve">а</w:t>
      </w:r>
      <w:r>
        <w:rPr>
          <w:bCs/>
          <w:highlight w:val="none"/>
        </w:rPr>
        <w:t xml:space="preserve">ний подвижного состава, предназначенного для перевозки организованных групп детей к местам отдыха и обратно. Нарушений безопасности движения при экспл</w:t>
      </w:r>
      <w:r>
        <w:rPr>
          <w:bCs/>
          <w:highlight w:val="none"/>
        </w:rPr>
        <w:t xml:space="preserve">у</w:t>
      </w:r>
      <w:r>
        <w:rPr>
          <w:bCs/>
          <w:highlight w:val="none"/>
        </w:rPr>
        <w:t xml:space="preserve">атации железнодорожного подвижного состава и обязательных т</w:t>
      </w:r>
      <w:r>
        <w:rPr>
          <w:bCs/>
          <w:highlight w:val="none"/>
        </w:rPr>
        <w:t xml:space="preserve">ребований по обеспечению доступности для инвалидов подвижного состава и пожарной бе</w:t>
      </w:r>
      <w:r>
        <w:rPr>
          <w:bCs/>
          <w:highlight w:val="none"/>
        </w:rPr>
        <w:t xml:space="preserve">з</w:t>
      </w:r>
      <w:r>
        <w:rPr>
          <w:bCs/>
          <w:highlight w:val="none"/>
        </w:rPr>
        <w:t xml:space="preserve">опасности на подвижном составе не выявлено.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bCs/>
          <w:highlight w:val="none"/>
        </w:rPr>
        <w:t xml:space="preserve">Всего по результатам проведенных выездных обследований за 12 месяцев 2025 г. контролируемым лицам направлено 1812 предостережений о недопустим</w:t>
      </w:r>
      <w:r>
        <w:rPr>
          <w:bCs/>
          <w:highlight w:val="none"/>
        </w:rPr>
        <w:t xml:space="preserve">о</w:t>
      </w:r>
      <w:r>
        <w:rPr>
          <w:bCs/>
          <w:highlight w:val="none"/>
        </w:rPr>
        <w:t xml:space="preserve">сти нарушения обязательных требований законодательства.</w:t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none"/>
        </w:rPr>
      </w:pPr>
      <w:r>
        <w:rPr>
          <w:bCs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highlight w:val="none"/>
        </w:rPr>
      </w:pPr>
      <w:r>
        <w:rPr>
          <w:b/>
          <w:highlight w:val="non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851"/>
        <w:jc w:val="both"/>
        <w:spacing w:line="276" w:lineRule="auto"/>
        <w:rPr>
          <w:bCs/>
          <w:sz w:val="28"/>
          <w:szCs w:val="28"/>
          <w:highlight w:val="none"/>
        </w:rPr>
      </w:pPr>
      <w:r>
        <w:rPr>
          <w:bCs/>
          <w:sz w:val="28"/>
          <w:szCs w:val="28"/>
          <w:highlight w:val="none"/>
        </w:rPr>
        <w:t xml:space="preserve">За 12 месяцев 2025 г. инспекторами управления было проведено 358</w:t>
      </w:r>
      <w:r>
        <w:rPr>
          <w:bCs/>
          <w:sz w:val="28"/>
          <w:szCs w:val="28"/>
          <w:highlight w:val="none"/>
        </w:rPr>
        <w:t xml:space="preserve">  н</w:t>
      </w:r>
      <w:r>
        <w:rPr>
          <w:bCs/>
          <w:sz w:val="28"/>
          <w:szCs w:val="28"/>
          <w:highlight w:val="none"/>
        </w:rPr>
        <w:t xml:space="preserve">а</w:t>
      </w:r>
      <w:r>
        <w:rPr>
          <w:bCs/>
          <w:sz w:val="28"/>
          <w:szCs w:val="28"/>
          <w:highlight w:val="none"/>
        </w:rPr>
        <w:t xml:space="preserve">блюдений</w:t>
      </w:r>
      <w:r>
        <w:rPr>
          <w:bCs/>
          <w:sz w:val="28"/>
          <w:szCs w:val="28"/>
          <w:highlight w:val="non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none"/>
        </w:rPr>
        <w:t xml:space="preserve"> </w:t>
      </w:r>
      <w:r>
        <w:rPr>
          <w:bCs/>
          <w:sz w:val="28"/>
          <w:szCs w:val="28"/>
          <w:highlight w:val="none"/>
        </w:rPr>
        <w:t xml:space="preserve">Выявлено 2260</w:t>
      </w:r>
      <w:r>
        <w:rPr>
          <w:bCs/>
          <w:sz w:val="28"/>
          <w:szCs w:val="28"/>
          <w:highlight w:val="none"/>
        </w:rPr>
        <w:t xml:space="preserve"> нарушений обязательных требований.</w:t>
      </w:r>
      <w:r>
        <w:rPr>
          <w:bCs/>
          <w:sz w:val="28"/>
          <w:szCs w:val="28"/>
          <w:highlight w:val="none"/>
        </w:rPr>
        <w:t xml:space="preserve"> По результатам проведенных наблюдений объявлено 353 предостережения о недопустимости нарушения обязательных требований.</w:t>
      </w: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  <w:t xml:space="preserve">4. </w:t>
      </w:r>
      <w:r>
        <w:rPr>
          <w:b/>
          <w:bCs/>
          <w:highlight w:val="white"/>
        </w:rPr>
        <w:t xml:space="preserve">Столкновения и сходы с рельс колёсных пар подвижного состава на Северо-Кавказской  железной  дороге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2"/>
          <w:szCs w:val="32"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(Ростовский регион)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bCs/>
          <w:sz w:val="36"/>
          <w:szCs w:val="36"/>
          <w:highlight w:val="white"/>
          <w14:ligatures w14:val="non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            За </w:t>
      </w:r>
      <w:r>
        <w:rPr>
          <w:color w:val="000000" w:themeColor="text1"/>
          <w:sz w:val="28"/>
          <w:szCs w:val="28"/>
          <w:highlight w:val="white"/>
        </w:rPr>
        <w:t xml:space="preserve">2025 год границах Ростовского региона СКЖД </w:t>
      </w:r>
      <w:r>
        <w:rPr>
          <w:color w:val="000000" w:themeColor="text1"/>
          <w:sz w:val="28"/>
          <w:szCs w:val="28"/>
          <w:highlight w:val="white"/>
        </w:rPr>
        <w:t xml:space="preserve"> допущено 10</w:t>
      </w:r>
      <w:r>
        <w:rPr>
          <w:color w:val="000000" w:themeColor="text1"/>
          <w:sz w:val="28"/>
          <w:szCs w:val="28"/>
          <w:highlight w:val="white"/>
        </w:rPr>
        <w:t xml:space="preserve"> случаев сходов</w:t>
      </w:r>
      <w:r>
        <w:rPr>
          <w:color w:val="000000" w:themeColor="text1"/>
          <w:sz w:val="28"/>
          <w:szCs w:val="28"/>
          <w:highlight w:val="white"/>
        </w:rPr>
        <w:t xml:space="preserve"> с рельс колесных пар подвижного состава на железнодорожном пути общего пользования. </w:t>
      </w:r>
      <w:r>
        <w:rPr>
          <w:color w:val="000000" w:themeColor="text1"/>
          <w:sz w:val="28"/>
          <w:szCs w:val="28"/>
          <w:highlight w:val="white"/>
        </w:rPr>
        <w:t xml:space="preserve"> На железнодорожном пути необщего пользования </w:t>
      </w:r>
      <w:r>
        <w:rPr>
          <w:color w:val="000000" w:themeColor="text1"/>
          <w:sz w:val="28"/>
          <w:szCs w:val="28"/>
          <w:highlight w:val="white"/>
        </w:rPr>
        <w:t xml:space="preserve">  произошло 5 случаев сходов</w:t>
      </w:r>
      <w:r>
        <w:rPr>
          <w:color w:val="000000" w:themeColor="text1"/>
          <w:sz w:val="28"/>
          <w:szCs w:val="28"/>
          <w:highlight w:val="white"/>
        </w:rPr>
        <w:t xml:space="preserve"> с рельс колесных пар подвижного состава.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</w:rPr>
        <w:t xml:space="preserve">Проездов запрещающих сигналов светофоров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 3 случая.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С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толкновений  железнодорожного подвижного состава </w:t>
      </w:r>
      <w:r>
        <w:rPr>
          <w:color w:val="000000" w:themeColor="text1"/>
          <w:sz w:val="28"/>
          <w:szCs w:val="28"/>
          <w:highlight w:val="white"/>
        </w:rPr>
        <w:t xml:space="preserve">с автомобильным транспортном на железнодорожных переездах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допущено 7 случаев.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spacing w:line="276" w:lineRule="auto"/>
        <w:tabs>
          <w:tab w:val="left" w:pos="1648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           Крушений и аварий за  2025 года не допущено.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spacing w:line="276" w:lineRule="auto"/>
        <w:tabs>
          <w:tab w:val="left" w:pos="1648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  <w:highlight w:val="none"/>
        </w:rPr>
        <w:t xml:space="preserve">Пути общего пользования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tbl>
      <w:tblPr>
        <w:tblStyle w:val="764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137"/>
        <w:gridCol w:w="3402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бригада  ООО «ПЖТ-Групп»,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техническая неисправность локомотива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Шахтная (пути 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2 вагонов, вина ДС (составитель не проверил заперание на закладку)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Ростов-Западный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19.01.2025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1 вагона с ОГ,вина ДС, движение по несоответствующему маршруту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29.03.2025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локомотива,вина СЛД Батайск, неисправность тормозной рычажной передачи локомотива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Лесостепь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27.04.2025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составитель ДС Лихая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Проезд запрещающего, АДМ 2234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Матвеев Курган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13.05.2025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составитель ДС Лихая, заклинивание тормозного башмака в башмакосбрасыватель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27.08.2025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ВЧДР Россошь АО «ОМК Стальной путь»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Сальск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03.10.2025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Скрытый случай, сход 1 вагона, вина ДС Батайск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Лихая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пользования)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28.12.2025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локомотива, случай на расследовании (особое мнение к ТЗ)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Кизитиринка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общего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пользования)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</w:tbl>
    <w:p>
      <w:pPr>
        <w:ind w:left="0"/>
        <w:jc w:val="left"/>
        <w:tabs>
          <w:tab w:val="left" w:pos="5812" w:leader="none"/>
          <w:tab w:val="right" w:pos="9355" w:leader="none"/>
        </w:tabs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/>
        <w:jc w:val="center"/>
        <w:tabs>
          <w:tab w:val="left" w:pos="5812" w:leader="none"/>
          <w:tab w:val="right" w:pos="9355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  <w:t xml:space="preserve">Пути необщего пользования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tbl>
      <w:tblPr>
        <w:tblStyle w:val="764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5278"/>
        <w:gridCol w:w="3260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14.01.2025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сход 1 вагона, вина ООО «АНТР-Актив»), ненадлежащее содержание рельсовой колеи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ООО «АНТР-Актив»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(пути необщего пользования)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14.07.2025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электровоза, вина </w:t>
            </w:r>
            <w:r>
              <w:rPr>
                <w:color w:val="auto"/>
                <w:sz w:val="24"/>
                <w:szCs w:val="24"/>
              </w:rPr>
              <w:t xml:space="preserve">ООО «Новочеркасский ПТЖ»,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уширение колеи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Хотунок ООО «Новочеркасский ПТЖ»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17.08.2025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color w:val="auto"/>
                <w:sz w:val="24"/>
                <w:szCs w:val="24"/>
              </w:rPr>
              <w:t xml:space="preserve">ОАО «ЮГ-Неруд»,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ненадлежащее содержание рельсовой колеи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Божковская,ОАО «ЮГ-Неруд»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07.09.2025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color w:val="auto"/>
                <w:sz w:val="24"/>
                <w:szCs w:val="24"/>
              </w:rPr>
              <w:t xml:space="preserve">ПАО «ТКЗ»Красный Котельщик, несвоевременное оповещение по парку об изменении маршрута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ПАО «ТКЗ»Красный Котельщик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30.12.2025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7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2-х вагонов, случай на расследовании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Заречная, НПЗ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rPr>
          <w:color w:val="auto"/>
          <w:highlight w:val="none"/>
        </w:rPr>
      </w:pPr>
      <w:r>
        <w:rPr>
          <w:color w:val="auto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auto"/>
          <w:sz w:val="28"/>
          <w:szCs w:val="28"/>
        </w:rPr>
        <w:t xml:space="preserve">Проезды запрещающих сигналов светофоров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  <w:highlight w:val="none"/>
        </w:rPr>
      </w:r>
    </w:p>
    <w:tbl>
      <w:tblPr>
        <w:tblStyle w:val="764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6270"/>
        <w:gridCol w:w="2268"/>
      </w:tblGrid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28.04.2025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Проезд </w:t>
            </w:r>
            <w:r>
              <w:rPr>
                <w:color w:val="auto"/>
                <w:sz w:val="24"/>
                <w:szCs w:val="24"/>
              </w:rPr>
              <w:t xml:space="preserve">запрещающего сигнала светофора АДМ 2234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М. Курган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23.09.2025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Сход маневрового тепловоза, вина Эксплуатационного Локомотивного депо Сальск, перевод  дежурной по станции стрелки под тепловозом в момент его движения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left="113" w:firstLine="0"/>
              <w:jc w:val="lef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Ст. Ремонтная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5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16.10.2025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70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Сход тепловоза, вина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Эксплуатационного Локомотивного депо Батайск , </w:t>
            </w:r>
            <w:r>
              <w:rPr>
                <w:color w:val="auto"/>
                <w:sz w:val="24"/>
                <w:szCs w:val="24"/>
              </w:rPr>
              <w:t xml:space="preserve"> проезд машинистом запрещающего сигнала маневрового светофора М4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spacing w:line="240" w:lineRule="auto"/>
              <w:rPr>
                <w:color w:val="auto"/>
              </w:rPr>
              <w:suppressLineNumbers w:val="0"/>
            </w:pPr>
            <w:r>
              <w:rPr>
                <w:color w:val="auto"/>
                <w:sz w:val="24"/>
                <w:szCs w:val="24"/>
              </w:rPr>
              <w:t xml:space="preserve">Ст. Конармейская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</w:tbl>
    <w:p>
      <w:pPr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0"/>
        <w:jc w:val="center"/>
        <w:spacing w:line="240" w:lineRule="auto"/>
        <w:rPr>
          <w:b/>
          <w:bCs/>
          <w:color w:val="auto"/>
        </w:rPr>
        <w:suppressLineNumbers w:val="0"/>
      </w:pPr>
      <w:r>
        <w:rPr>
          <w:b/>
          <w:bCs/>
          <w:color w:val="auto"/>
        </w:rPr>
      </w:r>
      <w:r>
        <w:rPr>
          <w:b/>
          <w:bCs/>
          <w:color w:val="auto"/>
          <w:sz w:val="28"/>
          <w:szCs w:val="28"/>
          <w:highlight w:val="none"/>
        </w:rPr>
        <w:t xml:space="preserve">Сведения о ДТП на переездах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04.02.2025г.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железнодорожном переезде 1297км пк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«Мержаново» перегона Морская — Синявская легкового автомобиля с  подвижным составом;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20.02.2025г.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ж/д переезде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км ПК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перегона Батайск - Кулешовский  грузового автомобиля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 подвижным составом;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19.04.2025 г. столкновение маневрового состава с легковым автомобилем на переезде ст. Заречная;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05.08.2025 г. столкновение легкового автомобиля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 подвижным составом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регулированном переезде Трубецкая-Целина;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21.04.2025г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переезде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пределах станции Ростов -Товарный маневрового тепловоза с автотранспортным средством;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08.12.2025г.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регулируемом переезде (без дежурного работника)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ерегон 103км - Цимлянская 92км 5пк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легкового автомобиля с пассажирским поездом;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67"/>
        <w:numPr>
          <w:ilvl w:val="0"/>
          <w:numId w:val="12"/>
        </w:numPr>
        <w:ind w:left="0" w:right="0" w:firstLine="567"/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25.12.2025г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столкновение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 регулируемом железнодорожном перегоне Каменская-Лихая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грузового автомобиля с пассажирским поездом.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-142" w:right="0" w:firstLine="850"/>
        <w:jc w:val="both"/>
        <w:tabs>
          <w:tab w:val="left" w:pos="5812" w:leader="none"/>
          <w:tab w:val="right" w:pos="9355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 всех указанных случаях вина водителя транспортного средства.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мках проведения комиссионных осмотров железнодорожных переездов с 01.04.2025 г. по 01.07.2025 г. осмотрено 1808 железнодорожных переезда общего и необщего пользования, в том числе на Северо-Кавказской железной дороге – 556, на Приволжской – 615, на Крымско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– 131, ФГУП «Железные дороги Новороссии» - 506. Выявлено 6913  нарушений. Юридическим лицам объявлено 55 предостережений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63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5. 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3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3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  <w:highlight w:val="none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C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 сентября 2025 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вступил в силу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Приказ Министерства транспорта РФ от 19 декабря 2024 г.N 447 "О внесении изменений в Условия эксплуатации железнодорожных переездов, утвержденные приказом Министерства транспорта Российской Федерации от 5 октября 2022 г. N 402"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hyperlink r:id="rId15" w:tooltip="https://internet.garant.ru/#/document/406279331/entry/1004" w:history="1">
        <w:r>
          <w:rPr>
            <w:rStyle w:val="9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дополнен </w:t>
      </w:r>
      <w:hyperlink r:id="rId16" w:tooltip="https://internet.garant.ru/#/document/406279331/entry/10046" w:history="1">
        <w:r>
          <w:rPr>
            <w:rStyle w:val="9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абзацами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В случае возникновения дорожно-транспортного происшествия с железнодорожным подвижным составом на железнодорожном переезде владелец инфраструктуры железнодорожного транспорта общего пользования или владелец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теч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ение 15 календарных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 дня возникновения такого дорожно-транспортного происшествия должны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провести комиссионное обследование принадлежащих им железнодорожных переездов и участка автомобильной дороги на расстоянии не менее 300 метров от железнодорожног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переезда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В случаях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возведения объектов недвижимого имущества в непосредственной близости от объектов железнодорожного транспорта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владельцем инфраструктуры железнодорожного транспорта общего пользования или владельцем железнодорожных путей необщего пользования по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бственной инициативе либо на основании обращения владельца автомобильной дороги к владельцу инфраструктуры железнодорожного транспорта общего пользования или владельцу железнодорожных путей необщего пользования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проводится комиссионное обследование железнод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орожных переездов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включающее осмотр их эксплуатационного состояния и обустройства и участка автомобильной дороги на расстоянии не менее 300 метров от железнодорожного переезда.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52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70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70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7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</w:t>
      </w:r>
      <w:r>
        <w:rPr>
          <w:rFonts w:eastAsia="Calibri"/>
          <w:highlight w:val="none"/>
        </w:rPr>
        <w:t xml:space="preserve">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  <w:highlight w:val="none"/>
        </w:rPr>
        <w:t xml:space="preserve">т</w:t>
      </w:r>
      <w:r>
        <w:rPr>
          <w:rFonts w:eastAsia="Calibri"/>
          <w:highlight w:val="none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left="1560" w:firstLine="0"/>
        <w:jc w:val="center"/>
        <w:spacing w:line="240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  <w:t xml:space="preserve">6. </w:t>
      </w:r>
      <w:r>
        <w:rPr>
          <w:b/>
          <w:color w:val="auto"/>
          <w:highlight w:val="none"/>
        </w:rPr>
        <w:t xml:space="preserve"> </w:t>
      </w:r>
      <w:r>
        <w:rPr>
          <w:b/>
          <w:color w:val="auto"/>
          <w:highlight w:val="none"/>
        </w:rPr>
        <w:t xml:space="preserve">Административная практика</w:t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67"/>
        <w:ind w:left="0" w:firstLine="0"/>
        <w:spacing w:line="240" w:lineRule="auto"/>
        <w:shd w:val="clear" w:color="auto" w:fill="auto"/>
        <w:rPr>
          <w:b/>
          <w:color w:val="auto"/>
          <w:highlight w:val="none"/>
        </w:rPr>
      </w:pP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  <w:r>
        <w:rPr>
          <w:b/>
          <w:color w:val="auto"/>
          <w:highlight w:val="none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highlight w:val="none"/>
        </w:rPr>
      </w:r>
      <w:bookmarkStart w:id="0" w:name="undefined"/>
      <w:r>
        <w:rPr>
          <w:sz w:val="28"/>
          <w:szCs w:val="28"/>
          <w:highlight w:val="none"/>
          <w:shd w:val="clear" w:color="auto" w:fill="ffffff"/>
        </w:rPr>
        <w:t xml:space="preserve">За </w:t>
      </w:r>
      <w:r>
        <w:rPr>
          <w:sz w:val="28"/>
          <w:szCs w:val="28"/>
          <w:highlight w:val="none"/>
          <w:shd w:val="clear" w:color="auto" w:fill="ffffff"/>
        </w:rPr>
        <w:t xml:space="preserve">12</w:t>
      </w:r>
      <w:r>
        <w:rPr>
          <w:sz w:val="28"/>
          <w:szCs w:val="28"/>
          <w:highlight w:val="none"/>
          <w:shd w:val="clear" w:color="auto" w:fill="ffffff"/>
        </w:rPr>
        <w:t xml:space="preserve"> месяцев </w:t>
      </w:r>
      <w:r>
        <w:rPr>
          <w:sz w:val="28"/>
          <w:szCs w:val="28"/>
          <w:highlight w:val="none"/>
          <w:shd w:val="clear" w:color="auto" w:fill="ffffff"/>
        </w:rPr>
        <w:t xml:space="preserve">2025 г. должностными лицами МТУ Ространснадзора по ЮФО рассмотрено 464</w:t>
      </w:r>
      <w:r>
        <w:rPr>
          <w:sz w:val="28"/>
          <w:szCs w:val="28"/>
          <w:highlight w:val="none"/>
          <w:shd w:val="clear" w:color="auto" w:fill="ffffff"/>
        </w:rPr>
        <w:t xml:space="preserve"> дел</w:t>
      </w:r>
      <w:r>
        <w:rPr>
          <w:sz w:val="28"/>
          <w:szCs w:val="28"/>
          <w:highlight w:val="none"/>
          <w:shd w:val="clear" w:color="auto" w:fill="ffffff"/>
        </w:rPr>
        <w:t xml:space="preserve">а</w:t>
      </w:r>
      <w:r>
        <w:rPr>
          <w:sz w:val="28"/>
          <w:szCs w:val="28"/>
          <w:highlight w:val="none"/>
          <w:shd w:val="clear" w:color="auto" w:fill="ffffff"/>
        </w:rPr>
        <w:t xml:space="preserve"> об административных правонарушениях</w:t>
      </w:r>
      <w:r>
        <w:rPr>
          <w:sz w:val="28"/>
          <w:szCs w:val="28"/>
          <w:highlight w:val="none"/>
          <w:shd w:val="clear" w:color="auto" w:fill="ffffff"/>
        </w:rPr>
        <w:t xml:space="preserve">, и</w:t>
      </w:r>
      <w:r>
        <w:rPr>
          <w:sz w:val="28"/>
          <w:szCs w:val="28"/>
          <w:highlight w:val="none"/>
          <w:shd w:val="clear" w:color="auto" w:fill="ffffff"/>
        </w:rPr>
        <w:t xml:space="preserve">з них 356 </w:t>
      </w:r>
      <w:r>
        <w:rPr>
          <w:sz w:val="28"/>
          <w:szCs w:val="28"/>
          <w:highlight w:val="none"/>
          <w:shd w:val="clear" w:color="auto" w:fill="ffffff"/>
        </w:rPr>
        <w:t xml:space="preserve">дел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sz w:val="28"/>
          <w:szCs w:val="28"/>
          <w:highlight w:val="non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none"/>
          <w:shd w:val="clear" w:color="auto" w:fill="ffffff"/>
        </w:rPr>
        <w:t xml:space="preserve">271 </w:t>
      </w:r>
      <w:r>
        <w:rPr>
          <w:sz w:val="28"/>
          <w:szCs w:val="28"/>
          <w:highlight w:val="none"/>
          <w:shd w:val="clear" w:color="auto" w:fill="ffffff"/>
        </w:rPr>
        <w:t xml:space="preserve">физическ</w:t>
      </w:r>
      <w:r>
        <w:rPr>
          <w:sz w:val="28"/>
          <w:szCs w:val="28"/>
          <w:highlight w:val="none"/>
          <w:shd w:val="clear" w:color="auto" w:fill="ffffff"/>
        </w:rPr>
        <w:t xml:space="preserve">ое </w:t>
      </w:r>
      <w:r>
        <w:rPr>
          <w:sz w:val="28"/>
          <w:szCs w:val="28"/>
          <w:highlight w:val="none"/>
          <w:shd w:val="clear" w:color="auto" w:fill="ffffff"/>
        </w:rPr>
        <w:t xml:space="preserve">лицо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154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none"/>
          <w:shd w:val="clear" w:color="auto" w:fill="ffffff"/>
        </w:rPr>
        <w:t xml:space="preserve"> и </w:t>
      </w:r>
      <w:r>
        <w:rPr>
          <w:sz w:val="28"/>
          <w:szCs w:val="28"/>
          <w:highlight w:val="none"/>
          <w:shd w:val="clear" w:color="auto" w:fill="ffffff"/>
        </w:rPr>
        <w:t xml:space="preserve">9</w:t>
      </w:r>
      <w:r>
        <w:rPr>
          <w:sz w:val="28"/>
          <w:szCs w:val="28"/>
          <w:highlight w:val="none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none"/>
          <w:shd w:val="clear" w:color="auto" w:fill="ffffff"/>
        </w:rPr>
        <w:t xml:space="preserve">сумма наложенных штрафов составила 440,9 </w:t>
      </w:r>
      <w:r>
        <w:rPr>
          <w:sz w:val="28"/>
          <w:szCs w:val="28"/>
          <w:highlight w:val="none"/>
          <w:shd w:val="clear" w:color="auto" w:fill="ffffff"/>
        </w:rPr>
        <w:t xml:space="preserve">тыс. руб.</w:t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  <w:shd w:val="clear" w:color="auto" w:fill="ffffff"/>
        </w:rPr>
      </w:pPr>
      <w:r>
        <w:rPr>
          <w:sz w:val="28"/>
          <w:szCs w:val="28"/>
          <w:highlight w:val="non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none"/>
          <w:shd w:val="clear" w:color="auto" w:fill="ffffff"/>
        </w:rPr>
        <w:t xml:space="preserve">8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</w:t>
      </w:r>
      <w:r>
        <w:rPr>
          <w:sz w:val="28"/>
          <w:szCs w:val="28"/>
          <w:highlight w:val="none"/>
          <w:shd w:val="clear" w:color="auto" w:fill="ffffff"/>
        </w:rPr>
        <w:t xml:space="preserve">ых</w:t>
      </w:r>
      <w:r>
        <w:rPr>
          <w:sz w:val="28"/>
          <w:szCs w:val="28"/>
          <w:highlight w:val="non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none"/>
          <w:shd w:val="clear" w:color="auto" w:fill="ffffff"/>
        </w:rPr>
        <w:t xml:space="preserve">ых</w:t>
      </w:r>
      <w:r>
        <w:rPr>
          <w:sz w:val="28"/>
          <w:szCs w:val="28"/>
          <w:highlight w:val="none"/>
          <w:shd w:val="clear" w:color="auto" w:fill="ffffff"/>
        </w:rPr>
        <w:t xml:space="preserve"> штраф</w:t>
      </w:r>
      <w:r>
        <w:rPr>
          <w:sz w:val="28"/>
          <w:szCs w:val="28"/>
          <w:highlight w:val="none"/>
          <w:shd w:val="clear" w:color="auto" w:fill="ffffff"/>
        </w:rPr>
        <w:t xml:space="preserve">ов</w:t>
      </w:r>
      <w:r>
        <w:rPr>
          <w:sz w:val="28"/>
          <w:szCs w:val="28"/>
          <w:highlight w:val="none"/>
          <w:shd w:val="clear" w:color="auto" w:fill="ffffff"/>
        </w:rPr>
        <w:t xml:space="preserve"> составила </w:t>
      </w:r>
      <w:r>
        <w:rPr>
          <w:sz w:val="28"/>
          <w:szCs w:val="28"/>
          <w:highlight w:val="none"/>
          <w:shd w:val="clear" w:color="auto" w:fill="ffffff"/>
        </w:rPr>
        <w:t xml:space="preserve">1</w:t>
      </w:r>
      <w:r>
        <w:rPr>
          <w:sz w:val="28"/>
          <w:szCs w:val="28"/>
          <w:highlight w:val="none"/>
          <w:shd w:val="clear" w:color="auto" w:fill="ffffff"/>
        </w:rPr>
        <w:t xml:space="preserve">6</w:t>
      </w:r>
      <w:r>
        <w:rPr>
          <w:sz w:val="28"/>
          <w:szCs w:val="28"/>
          <w:highlight w:val="none"/>
          <w:shd w:val="clear" w:color="auto" w:fill="ffffff"/>
        </w:rPr>
        <w:t xml:space="preserve"> тыс. руб.</w:t>
      </w: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none"/>
        </w:rPr>
        <w:t xml:space="preserve">12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должностн</w:t>
      </w:r>
      <w:r>
        <w:rPr>
          <w:sz w:val="28"/>
          <w:szCs w:val="28"/>
          <w:highlight w:val="none"/>
        </w:rPr>
        <w:t xml:space="preserve">ых</w:t>
      </w:r>
      <w:r>
        <w:rPr>
          <w:sz w:val="28"/>
          <w:szCs w:val="28"/>
          <w:highlight w:val="none"/>
        </w:rPr>
        <w:t xml:space="preserve"> лиц, сумма наложенн</w:t>
      </w:r>
      <w:r>
        <w:rPr>
          <w:sz w:val="28"/>
          <w:szCs w:val="28"/>
          <w:highlight w:val="none"/>
        </w:rPr>
        <w:t xml:space="preserve">ых </w:t>
      </w:r>
      <w:r>
        <w:rPr>
          <w:sz w:val="28"/>
          <w:szCs w:val="28"/>
          <w:highlight w:val="none"/>
        </w:rPr>
        <w:t xml:space="preserve">штраф</w:t>
      </w:r>
      <w:r>
        <w:rPr>
          <w:sz w:val="28"/>
          <w:szCs w:val="28"/>
          <w:highlight w:val="none"/>
        </w:rPr>
        <w:t xml:space="preserve">ов </w:t>
      </w:r>
      <w:r>
        <w:rPr>
          <w:sz w:val="28"/>
          <w:szCs w:val="28"/>
          <w:highlight w:val="none"/>
        </w:rPr>
        <w:t xml:space="preserve">составила </w:t>
      </w:r>
      <w:r>
        <w:rPr>
          <w:sz w:val="28"/>
          <w:szCs w:val="28"/>
          <w:highlight w:val="none"/>
        </w:rPr>
        <w:t xml:space="preserve">48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ыс. руб.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none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 и 7 </w:t>
      </w:r>
      <w:r>
        <w:rPr>
          <w:sz w:val="28"/>
          <w:szCs w:val="28"/>
          <w:highlight w:val="non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none"/>
          <w:shd w:val="clear" w:color="auto" w:fill="ffffff"/>
        </w:rPr>
        <w:t xml:space="preserve">,</w:t>
      </w:r>
      <w:r>
        <w:rPr>
          <w:sz w:val="28"/>
          <w:szCs w:val="28"/>
          <w:highlight w:val="none"/>
          <w:lang w:eastAsia="ru-RU"/>
        </w:rPr>
        <w:t xml:space="preserve"> сумма наложенных штрафов составила 62 тыс.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none"/>
          <w:shd w:val="clear" w:color="auto" w:fill="ffffff"/>
          <w14:ligatures w14:val="none"/>
        </w:rPr>
      </w:pPr>
      <w:r>
        <w:rPr>
          <w:sz w:val="28"/>
          <w:szCs w:val="28"/>
          <w:highlight w:val="non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</w:t>
      </w:r>
      <w:r>
        <w:rPr>
          <w:sz w:val="28"/>
          <w:szCs w:val="28"/>
          <w:highlight w:val="none"/>
          <w:shd w:val="clear" w:color="auto" w:fill="ffffff"/>
          <w:lang w:eastAsia="ru-RU"/>
        </w:rPr>
        <w:t xml:space="preserve">б.</w:t>
      </w:r>
      <w:r>
        <w:rPr>
          <w:sz w:val="28"/>
          <w:szCs w:val="28"/>
          <w:highlight w:val="none"/>
          <w:shd w:val="clear" w:color="auto" w:fill="ffffff"/>
          <w14:ligatures w14:val="none"/>
        </w:rPr>
      </w:r>
      <w:r>
        <w:rPr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pStyle w:val="973"/>
        <w:ind w:left="0" w:right="0" w:firstLine="850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sz w:val="28"/>
          <w:szCs w:val="28"/>
          <w:highlight w:val="none"/>
          <w:shd w:val="clear" w:color="auto" w:fill="ffffff"/>
        </w:rPr>
      </w:r>
      <w:r>
        <w:rPr>
          <w:sz w:val="28"/>
          <w:szCs w:val="28"/>
          <w:highlight w:val="none"/>
          <w:shd w:val="clear" w:color="auto" w:fill="ffffff"/>
        </w:rPr>
        <w:t xml:space="preserve">Сумма наложенных штрафов составила 567,2 тыс. руб. </w:t>
      </w:r>
      <w:r>
        <w:rPr>
          <w:sz w:val="28"/>
          <w:szCs w:val="28"/>
          <w:highlight w:val="none"/>
          <w:shd w:val="clear" w:color="auto" w:fill="ffffff"/>
        </w:rPr>
        <w:t xml:space="preserve">С</w:t>
      </w:r>
      <w:r>
        <w:rPr>
          <w:sz w:val="28"/>
          <w:szCs w:val="28"/>
          <w:highlight w:val="none"/>
          <w:shd w:val="clear" w:color="auto" w:fill="ffffff"/>
        </w:rPr>
        <w:t xml:space="preserve">умма поступивших в бюджет штрафов составила 315,15 </w:t>
      </w:r>
      <w:r>
        <w:rPr>
          <w:sz w:val="28"/>
          <w:szCs w:val="28"/>
          <w:highlight w:val="none"/>
          <w:shd w:val="clear" w:color="auto" w:fill="ffffff"/>
        </w:rPr>
        <w:t xml:space="preserve">тыс. руб. В размере половины суммы наложенного административного штрафа в соответствии с ч.1.3-3 ст.32.2 КоАП РФ было уплачено 410</w:t>
      </w:r>
      <w:r>
        <w:rPr>
          <w:sz w:val="28"/>
          <w:szCs w:val="28"/>
          <w:highlight w:val="none"/>
          <w:shd w:val="clear" w:color="auto" w:fill="ffffff"/>
        </w:rPr>
        <w:t xml:space="preserve"> </w:t>
      </w:r>
      <w:r>
        <w:rPr>
          <w:sz w:val="28"/>
          <w:szCs w:val="28"/>
          <w:highlight w:val="non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none"/>
          <w:shd w:val="clear" w:color="auto" w:fill="ffffff"/>
        </w:rPr>
        <w:t xml:space="preserve">ов</w:t>
      </w:r>
      <w:r>
        <w:rPr>
          <w:sz w:val="28"/>
          <w:szCs w:val="28"/>
          <w:highlight w:val="none"/>
          <w:shd w:val="clear" w:color="auto" w:fill="ffffff"/>
        </w:rPr>
        <w:t xml:space="preserve"> (сумма выпадающих доходов по упомянутым административным штрафам составила 252,05 </w:t>
      </w:r>
      <w:r>
        <w:rPr>
          <w:sz w:val="28"/>
          <w:szCs w:val="28"/>
          <w:highlight w:val="none"/>
          <w:shd w:val="clear" w:color="auto" w:fill="ffffff"/>
        </w:rPr>
        <w:t xml:space="preserve">тыс.</w:t>
      </w:r>
      <w:r>
        <w:rPr>
          <w:sz w:val="28"/>
          <w:szCs w:val="28"/>
          <w:highlight w:val="none"/>
          <w:shd w:val="clear" w:color="auto" w:fill="ffffff"/>
        </w:rPr>
        <w:t xml:space="preserve"> руб.).</w:t>
      </w:r>
      <w:bookmarkEnd w:id="0"/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73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none"/>
        </w:rPr>
      </w:pP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  <w:r>
        <w:rPr>
          <w:rFonts w:ascii="Roboto" w:hAnsi="Roboto"/>
          <w:sz w:val="21"/>
          <w:szCs w:val="21"/>
          <w:highlight w:val="none"/>
        </w:rPr>
      </w:r>
    </w:p>
    <w:p>
      <w:pPr>
        <w:pStyle w:val="973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white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роприятие с взаимодействи</w:t>
      </w:r>
      <w:r>
        <w:rPr>
          <w:color w:val="auto"/>
          <w:lang w:eastAsia="ru-RU"/>
        </w:rPr>
        <w:t xml:space="preserve">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none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52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52"/>
        <w:ind w:left="1560" w:firstLine="0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7. </w:t>
      </w: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78"/>
        <w:ind w:firstLine="652"/>
        <w:jc w:val="both"/>
        <w:spacing w:after="0" w:afterAutospacing="0" w:line="240" w:lineRule="auto"/>
        <w:shd w:val="clear" w:color="auto" w:fill="ffffff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В 2025 году рассмотрено 34 декларации, утверждено 33.  </w:t>
      </w:r>
      <w:r>
        <w:rPr>
          <w:color w:val="auto"/>
          <w:sz w:val="28"/>
          <w:szCs w:val="28"/>
          <w:highlight w:val="none"/>
        </w:rPr>
        <w:t xml:space="preserve">В январе 2026 года  рассмотрены и утверждены 4 декларации, на рассмотрении находится 1.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680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</w:t>
      </w:r>
      <w:r>
        <w:rPr>
          <w:sz w:val="28"/>
          <w:szCs w:val="28"/>
          <w:highlight w:val="white"/>
        </w:rPr>
        <w:t xml:space="preserve">обязательных </w:t>
      </w:r>
      <w:r>
        <w:rPr>
          <w:sz w:val="28"/>
          <w:szCs w:val="28"/>
          <w:highlight w:val="white"/>
        </w:rPr>
        <w:t xml:space="preserve">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3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white"/>
        </w:rPr>
        <w:t xml:space="preserve">).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3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) в целях добр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, контролируемому лицу необходимо авториз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white"/>
        </w:rPr>
        <w:t xml:space="preserve">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странснадзора</w:t>
      </w:r>
      <w:r>
        <w:rPr>
          <w:sz w:val="28"/>
          <w:szCs w:val="20"/>
          <w:highlight w:val="white"/>
        </w:rPr>
        <w:t xml:space="preserve">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3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» нео</w:t>
      </w:r>
      <w:r>
        <w:rPr>
          <w:sz w:val="28"/>
          <w:szCs w:val="20"/>
          <w:highlight w:val="white"/>
        </w:rPr>
        <w:t xml:space="preserve">б</w:t>
      </w:r>
      <w:r>
        <w:rPr>
          <w:sz w:val="28"/>
          <w:szCs w:val="20"/>
          <w:highlight w:val="white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white"/>
        </w:rPr>
        <w:t xml:space="preserve">чек-листу</w:t>
      </w:r>
      <w:r>
        <w:rPr>
          <w:sz w:val="28"/>
          <w:szCs w:val="20"/>
          <w:highlight w:val="white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нете.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3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white"/>
        </w:rPr>
        <w:t xml:space="preserve">Ространснадзор</w:t>
      </w:r>
      <w:r>
        <w:rPr>
          <w:sz w:val="28"/>
          <w:szCs w:val="20"/>
          <w:highlight w:val="white"/>
        </w:rPr>
        <w:t xml:space="preserve">. Должностные лица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white"/>
        </w:rPr>
        <w:t xml:space="preserve">а</w:t>
      </w:r>
      <w:r>
        <w:rPr>
          <w:sz w:val="28"/>
          <w:szCs w:val="20"/>
          <w:highlight w:val="white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white"/>
        </w:rPr>
        <w:t xml:space="preserve">й</w:t>
      </w:r>
      <w:r>
        <w:rPr>
          <w:sz w:val="28"/>
          <w:szCs w:val="20"/>
          <w:highlight w:val="white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white"/>
        </w:rPr>
        <w:t xml:space="preserve">Ространснадзором</w:t>
      </w:r>
      <w:r>
        <w:rPr>
          <w:sz w:val="28"/>
          <w:szCs w:val="20"/>
          <w:highlight w:val="white"/>
        </w:rPr>
        <w:t xml:space="preserve">.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3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2"/>
        <w:jc w:val="both"/>
        <w:spacing w:before="0" w:after="0" w:line="240" w:lineRule="auto"/>
        <w:rPr>
          <w:b w:val="0"/>
          <w:bCs w:val="0"/>
          <w:color w:val="auto"/>
          <w:szCs w:val="20"/>
          <w:highlight w:val="white"/>
        </w:rPr>
      </w:pP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white"/>
        </w:rPr>
      </w:r>
      <w:r>
        <w:rPr>
          <w:b w:val="0"/>
          <w:bCs w:val="0"/>
          <w:color w:val="auto"/>
          <w:szCs w:val="20"/>
          <w:highlight w:val="white"/>
        </w:rPr>
      </w:r>
    </w:p>
    <w:p>
      <w:pPr>
        <w:pStyle w:val="952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2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И.о.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  <w:highlight w:val="none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none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erif">
    <w:panose1 w:val="02020603050405020304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8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1"/>
    <w:link w:val="733"/>
    <w:uiPriority w:val="9"/>
    <w:rPr>
      <w:rFonts w:ascii="Arial" w:hAnsi="Arial" w:eastAsia="Arial" w:cs="Arial"/>
      <w:sz w:val="34"/>
    </w:rPr>
  </w:style>
  <w:style w:type="character" w:styleId="718">
    <w:name w:val="Heading 3 Char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19">
    <w:name w:val="Heading 4 Char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>
    <w:name w:val="Heading 5 Char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>
    <w:name w:val="Heading 6 Char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>
    <w:name w:val="Heading 7 Char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8 Char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>
    <w:name w:val="Heading 9 Char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Subtitle Char"/>
    <w:basedOn w:val="741"/>
    <w:link w:val="755"/>
    <w:uiPriority w:val="11"/>
    <w:rPr>
      <w:sz w:val="24"/>
      <w:szCs w:val="24"/>
    </w:rPr>
  </w:style>
  <w:style w:type="character" w:styleId="726">
    <w:name w:val="Quote Char"/>
    <w:link w:val="757"/>
    <w:uiPriority w:val="29"/>
    <w:rPr>
      <w:i/>
    </w:rPr>
  </w:style>
  <w:style w:type="character" w:styleId="727">
    <w:name w:val="Intense Quote Char"/>
    <w:link w:val="759"/>
    <w:uiPriority w:val="30"/>
    <w:rPr>
      <w:i/>
    </w:rPr>
  </w:style>
  <w:style w:type="character" w:styleId="728">
    <w:name w:val="Caption Char"/>
    <w:basedOn w:val="741"/>
    <w:link w:val="949"/>
    <w:uiPriority w:val="35"/>
    <w:rPr>
      <w:b/>
      <w:bCs/>
      <w:color w:val="4f81bd" w:themeColor="accent1"/>
      <w:sz w:val="18"/>
      <w:szCs w:val="18"/>
    </w:rPr>
  </w:style>
  <w:style w:type="character" w:styleId="729">
    <w:name w:val="Footnote Text Char"/>
    <w:link w:val="890"/>
    <w:uiPriority w:val="99"/>
    <w:rPr>
      <w:sz w:val="18"/>
    </w:rPr>
  </w:style>
  <w:style w:type="character" w:styleId="730">
    <w:name w:val="Endnote Text Char"/>
    <w:link w:val="893"/>
    <w:uiPriority w:val="99"/>
    <w:rPr>
      <w:sz w:val="20"/>
    </w:rPr>
  </w:style>
  <w:style w:type="paragraph" w:styleId="731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32">
    <w:name w:val="Heading 1"/>
    <w:basedOn w:val="953"/>
    <w:next w:val="731"/>
    <w:link w:val="939"/>
    <w:uiPriority w:val="9"/>
    <w:qFormat/>
    <w:pPr>
      <w:ind w:firstLine="0"/>
      <w:spacing w:before="0" w:after="0" w:line="360" w:lineRule="auto"/>
      <w:outlineLvl w:val="0"/>
    </w:pPr>
  </w:style>
  <w:style w:type="paragraph" w:styleId="733">
    <w:name w:val="Heading 2"/>
    <w:basedOn w:val="731"/>
    <w:next w:val="731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46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</w:style>
  <w:style w:type="character" w:styleId="754" w:customStyle="1">
    <w:name w:val="Title Char"/>
    <w:basedOn w:val="741"/>
    <w:uiPriority w:val="10"/>
    <w:rPr>
      <w:sz w:val="48"/>
      <w:szCs w:val="48"/>
    </w:rPr>
  </w:style>
  <w:style w:type="paragraph" w:styleId="755">
    <w:name w:val="Subtitle"/>
    <w:basedOn w:val="731"/>
    <w:next w:val="73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41"/>
    <w:link w:val="755"/>
    <w:uiPriority w:val="11"/>
    <w:rPr>
      <w:sz w:val="24"/>
      <w:szCs w:val="24"/>
    </w:rPr>
  </w:style>
  <w:style w:type="paragraph" w:styleId="757">
    <w:name w:val="Quote"/>
    <w:basedOn w:val="731"/>
    <w:next w:val="731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31"/>
    <w:next w:val="731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character" w:styleId="761" w:customStyle="1">
    <w:name w:val="Header Char"/>
    <w:basedOn w:val="741"/>
    <w:uiPriority w:val="99"/>
  </w:style>
  <w:style w:type="character" w:styleId="762" w:customStyle="1">
    <w:name w:val="Footer Char"/>
    <w:basedOn w:val="741"/>
    <w:uiPriority w:val="99"/>
  </w:style>
  <w:style w:type="character" w:styleId="763" w:customStyle="1">
    <w:name w:val="Название объекта Знак"/>
    <w:basedOn w:val="741"/>
    <w:link w:val="949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basedOn w:val="74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Table Grid Light"/>
    <w:basedOn w:val="74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Plain Table 1"/>
    <w:basedOn w:val="74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4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4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basedOn w:val="74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basedOn w:val="74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basedOn w:val="74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basedOn w:val="74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basedOn w:val="74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basedOn w:val="74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2"/>
    <w:basedOn w:val="74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basedOn w:val="74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basedOn w:val="74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basedOn w:val="74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basedOn w:val="74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basedOn w:val="74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basedOn w:val="74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"/>
    <w:basedOn w:val="74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basedOn w:val="74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basedOn w:val="74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basedOn w:val="74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basedOn w:val="74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basedOn w:val="74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basedOn w:val="74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4"/>
    <w:basedOn w:val="74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basedOn w:val="74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basedOn w:val="74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basedOn w:val="74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basedOn w:val="74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basedOn w:val="74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basedOn w:val="74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Grid Table 5 Dark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basedOn w:val="74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6 Colorful"/>
    <w:basedOn w:val="74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basedOn w:val="74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basedOn w:val="74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basedOn w:val="74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basedOn w:val="74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basedOn w:val="74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basedOn w:val="74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7 Colorful"/>
    <w:basedOn w:val="74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basedOn w:val="74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basedOn w:val="74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basedOn w:val="74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basedOn w:val="74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basedOn w:val="74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basedOn w:val="74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1 Light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basedOn w:val="74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2"/>
    <w:basedOn w:val="74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basedOn w:val="74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basedOn w:val="74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basedOn w:val="74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basedOn w:val="74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basedOn w:val="74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basedOn w:val="74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List Table 3"/>
    <w:basedOn w:val="74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basedOn w:val="74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basedOn w:val="74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basedOn w:val="74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basedOn w:val="74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basedOn w:val="74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basedOn w:val="74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"/>
    <w:basedOn w:val="74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basedOn w:val="74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basedOn w:val="74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basedOn w:val="74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basedOn w:val="74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basedOn w:val="74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basedOn w:val="74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5 Dark"/>
    <w:basedOn w:val="74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basedOn w:val="74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basedOn w:val="74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basedOn w:val="74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basedOn w:val="74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basedOn w:val="74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basedOn w:val="74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6 Colorful"/>
    <w:basedOn w:val="74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basedOn w:val="74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basedOn w:val="74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basedOn w:val="74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basedOn w:val="74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basedOn w:val="74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basedOn w:val="74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List Table 7 Colorful"/>
    <w:basedOn w:val="74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basedOn w:val="74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basedOn w:val="74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basedOn w:val="74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basedOn w:val="74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basedOn w:val="74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basedOn w:val="74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basedOn w:val="74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basedOn w:val="74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basedOn w:val="74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basedOn w:val="74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basedOn w:val="74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basedOn w:val="74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basedOn w:val="74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basedOn w:val="74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0">
    <w:name w:val="footnote text"/>
    <w:basedOn w:val="731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basedOn w:val="741"/>
    <w:uiPriority w:val="99"/>
    <w:unhideWhenUsed/>
    <w:rPr>
      <w:vertAlign w:val="superscript"/>
    </w:rPr>
  </w:style>
  <w:style w:type="paragraph" w:styleId="893">
    <w:name w:val="endnote text"/>
    <w:basedOn w:val="731"/>
    <w:link w:val="894"/>
    <w:uiPriority w:val="99"/>
    <w:semiHidden/>
    <w:unhideWhenUsed/>
    <w:pPr>
      <w:spacing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41"/>
    <w:uiPriority w:val="99"/>
    <w:semiHidden/>
    <w:unhideWhenUsed/>
    <w:rPr>
      <w:vertAlign w:val="superscript"/>
    </w:rPr>
  </w:style>
  <w:style w:type="paragraph" w:styleId="896">
    <w:name w:val="toc 1"/>
    <w:basedOn w:val="731"/>
    <w:next w:val="731"/>
    <w:uiPriority w:val="39"/>
    <w:unhideWhenUsed/>
    <w:pPr>
      <w:ind w:firstLine="0"/>
      <w:spacing w:after="57"/>
    </w:pPr>
  </w:style>
  <w:style w:type="paragraph" w:styleId="897">
    <w:name w:val="toc 2"/>
    <w:basedOn w:val="731"/>
    <w:next w:val="731"/>
    <w:uiPriority w:val="39"/>
    <w:unhideWhenUsed/>
    <w:pPr>
      <w:ind w:left="283" w:firstLine="0"/>
      <w:spacing w:after="57"/>
    </w:pPr>
  </w:style>
  <w:style w:type="paragraph" w:styleId="898">
    <w:name w:val="toc 3"/>
    <w:basedOn w:val="731"/>
    <w:next w:val="731"/>
    <w:uiPriority w:val="39"/>
    <w:unhideWhenUsed/>
    <w:pPr>
      <w:ind w:left="567" w:firstLine="0"/>
      <w:spacing w:after="57"/>
    </w:pPr>
  </w:style>
  <w:style w:type="paragraph" w:styleId="899">
    <w:name w:val="toc 4"/>
    <w:basedOn w:val="731"/>
    <w:next w:val="731"/>
    <w:uiPriority w:val="39"/>
    <w:unhideWhenUsed/>
    <w:pPr>
      <w:ind w:left="850" w:firstLine="0"/>
      <w:spacing w:after="57"/>
    </w:pPr>
  </w:style>
  <w:style w:type="paragraph" w:styleId="900">
    <w:name w:val="toc 5"/>
    <w:basedOn w:val="731"/>
    <w:next w:val="731"/>
    <w:uiPriority w:val="39"/>
    <w:unhideWhenUsed/>
    <w:pPr>
      <w:ind w:left="1134" w:firstLine="0"/>
      <w:spacing w:after="57"/>
    </w:pPr>
  </w:style>
  <w:style w:type="paragraph" w:styleId="901">
    <w:name w:val="toc 6"/>
    <w:basedOn w:val="731"/>
    <w:next w:val="731"/>
    <w:uiPriority w:val="39"/>
    <w:unhideWhenUsed/>
    <w:pPr>
      <w:ind w:left="1417" w:firstLine="0"/>
      <w:spacing w:after="57"/>
    </w:pPr>
  </w:style>
  <w:style w:type="paragraph" w:styleId="902">
    <w:name w:val="toc 7"/>
    <w:basedOn w:val="731"/>
    <w:next w:val="731"/>
    <w:uiPriority w:val="39"/>
    <w:unhideWhenUsed/>
    <w:pPr>
      <w:ind w:left="1701" w:firstLine="0"/>
      <w:spacing w:after="57"/>
    </w:pPr>
  </w:style>
  <w:style w:type="paragraph" w:styleId="903">
    <w:name w:val="toc 8"/>
    <w:basedOn w:val="731"/>
    <w:next w:val="731"/>
    <w:uiPriority w:val="39"/>
    <w:unhideWhenUsed/>
    <w:pPr>
      <w:ind w:left="1984" w:firstLine="0"/>
      <w:spacing w:after="57"/>
    </w:pPr>
  </w:style>
  <w:style w:type="paragraph" w:styleId="904">
    <w:name w:val="toc 9"/>
    <w:basedOn w:val="731"/>
    <w:next w:val="731"/>
    <w:uiPriority w:val="39"/>
    <w:unhideWhenUsed/>
    <w:pPr>
      <w:ind w:left="2268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31"/>
    <w:next w:val="731"/>
    <w:uiPriority w:val="99"/>
    <w:unhideWhenUsed/>
  </w:style>
  <w:style w:type="character" w:styleId="907">
    <w:name w:val="Hyperlink"/>
    <w:basedOn w:val="741"/>
    <w:rPr>
      <w:color w:val="0066cc"/>
      <w:u w:val="single"/>
    </w:rPr>
  </w:style>
  <w:style w:type="character" w:styleId="908" w:customStyle="1">
    <w:name w:val="Основной текст (2)_"/>
    <w:basedOn w:val="741"/>
    <w:link w:val="95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9" w:customStyle="1">
    <w:name w:val="Заголовок №1_"/>
    <w:basedOn w:val="741"/>
    <w:link w:val="952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0" w:customStyle="1">
    <w:name w:val="Основной текст (3)_"/>
    <w:basedOn w:val="741"/>
    <w:link w:val="953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1" w:customStyle="1">
    <w:name w:val="Подпись к таблице_"/>
    <w:basedOn w:val="741"/>
    <w:link w:val="95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2" w:customStyle="1">
    <w:name w:val="Основной текст (2)"/>
    <w:basedOn w:val="90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13" w:customStyle="1">
    <w:name w:val="Колонтитул_"/>
    <w:basedOn w:val="741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4" w:customStyle="1">
    <w:name w:val="Колонтитул"/>
    <w:basedOn w:val="913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5" w:customStyle="1">
    <w:name w:val="Колонтитул + Полужирный;Не курсив"/>
    <w:basedOn w:val="913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6" w:customStyle="1">
    <w:name w:val="Основной текст (2) + Курсив"/>
    <w:basedOn w:val="90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7" w:customStyle="1">
    <w:name w:val="Основной текст (4)_"/>
    <w:basedOn w:val="741"/>
    <w:link w:val="956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8" w:customStyle="1">
    <w:name w:val="Основной текст (5)_"/>
    <w:basedOn w:val="741"/>
    <w:link w:val="95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9" w:customStyle="1">
    <w:name w:val="Основной текст (5) + Не курсив;Интервал 1 pt"/>
    <w:basedOn w:val="91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0" w:customStyle="1">
    <w:name w:val="Основной текст (6)_"/>
    <w:basedOn w:val="741"/>
    <w:link w:val="95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1" w:customStyle="1">
    <w:name w:val="Подпись к картинке_"/>
    <w:basedOn w:val="741"/>
    <w:link w:val="95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22" w:customStyle="1">
    <w:name w:val="Подпись к картинке + Не курсив;Интервал 1 pt"/>
    <w:basedOn w:val="9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23" w:customStyle="1">
    <w:name w:val="Подпись к картинке"/>
    <w:basedOn w:val="9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4" w:customStyle="1">
    <w:name w:val="Подпись к картинке (2)_"/>
    <w:basedOn w:val="741"/>
    <w:link w:val="960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5" w:customStyle="1">
    <w:name w:val="Подпись к картинке Exact"/>
    <w:basedOn w:val="74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6" w:customStyle="1">
    <w:name w:val="Подпись к картинке + Не курсив;Интервал 1 pt Exact"/>
    <w:basedOn w:val="92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7" w:customStyle="1">
    <w:name w:val="Подпись к картинке (3) Exact"/>
    <w:basedOn w:val="741"/>
    <w:link w:val="961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8" w:customStyle="1">
    <w:name w:val="Основной текст (5) Exact"/>
    <w:basedOn w:val="74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9" w:customStyle="1">
    <w:name w:val="Основной текст (9) Exact"/>
    <w:basedOn w:val="741"/>
    <w:link w:val="962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30" w:customStyle="1">
    <w:name w:val="Основной текст (4) Exact"/>
    <w:basedOn w:val="741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31" w:customStyle="1">
    <w:name w:val="Основной текст (7)_"/>
    <w:basedOn w:val="741"/>
    <w:link w:val="963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32" w:customStyle="1">
    <w:name w:val="Основной текст (5)"/>
    <w:basedOn w:val="918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33" w:customStyle="1">
    <w:name w:val="Основной текст (5) + Franklin Gothic Book;11 pt"/>
    <w:basedOn w:val="918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4" w:customStyle="1">
    <w:name w:val="Основной текст (4)"/>
    <w:basedOn w:val="917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5" w:customStyle="1">
    <w:name w:val="Основной текст (8)_"/>
    <w:basedOn w:val="741"/>
    <w:link w:val="964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6" w:customStyle="1">
    <w:name w:val="Основной текст (7) + 27 pt;Не курсив"/>
    <w:basedOn w:val="93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7" w:customStyle="1">
    <w:name w:val="Верхний колонтитул Знак"/>
    <w:basedOn w:val="741"/>
    <w:link w:val="965"/>
    <w:uiPriority w:val="99"/>
    <w:qFormat/>
    <w:rPr>
      <w:color w:val="000000"/>
    </w:rPr>
  </w:style>
  <w:style w:type="character" w:styleId="938" w:customStyle="1">
    <w:name w:val="Нижний колонтитул Знак"/>
    <w:basedOn w:val="741"/>
    <w:link w:val="966"/>
    <w:uiPriority w:val="99"/>
    <w:qFormat/>
    <w:rPr>
      <w:color w:val="000000"/>
    </w:rPr>
  </w:style>
  <w:style w:type="character" w:styleId="939" w:customStyle="1">
    <w:name w:val="Заголовок 1 Знак"/>
    <w:basedOn w:val="741"/>
    <w:link w:val="732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40" w:customStyle="1">
    <w:name w:val="Абзац списка Знак"/>
    <w:basedOn w:val="741"/>
    <w:link w:val="967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1" w:customStyle="1">
    <w:name w:val="Перечисление Знак"/>
    <w:basedOn w:val="940"/>
    <w:link w:val="968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2" w:customStyle="1">
    <w:name w:val="Текст выноски Знак"/>
    <w:basedOn w:val="741"/>
    <w:link w:val="969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43" w:customStyle="1">
    <w:name w:val="Название Знак"/>
    <w:basedOn w:val="741"/>
    <w:link w:val="971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4" w:customStyle="1">
    <w:name w:val="Гипертекстовая ссылка"/>
    <w:basedOn w:val="741"/>
    <w:uiPriority w:val="99"/>
    <w:qFormat/>
    <w:rPr>
      <w:color w:val="106bbe"/>
    </w:rPr>
  </w:style>
  <w:style w:type="character" w:styleId="945">
    <w:name w:val="Emphasis"/>
    <w:basedOn w:val="741"/>
    <w:uiPriority w:val="20"/>
    <w:qFormat/>
    <w:rPr>
      <w:i/>
      <w:iCs/>
    </w:rPr>
  </w:style>
  <w:style w:type="paragraph" w:styleId="946" w:customStyle="1">
    <w:name w:val="Заголовок"/>
    <w:basedOn w:val="731"/>
    <w:next w:val="947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7">
    <w:name w:val="Body Text"/>
    <w:basedOn w:val="731"/>
    <w:pPr>
      <w:spacing w:after="140" w:line="276" w:lineRule="auto"/>
    </w:pPr>
  </w:style>
  <w:style w:type="paragraph" w:styleId="948">
    <w:name w:val="List"/>
    <w:basedOn w:val="947"/>
    <w:rPr>
      <w:rFonts w:cs="Droid Sans Devanagari"/>
    </w:rPr>
  </w:style>
  <w:style w:type="paragraph" w:styleId="949">
    <w:name w:val="Caption"/>
    <w:basedOn w:val="731"/>
    <w:link w:val="763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50">
    <w:name w:val="index heading"/>
    <w:basedOn w:val="731"/>
    <w:qFormat/>
    <w:pPr>
      <w:suppressLineNumbers/>
    </w:pPr>
    <w:rPr>
      <w:rFonts w:cs="Droid Sans Devanagari"/>
    </w:rPr>
  </w:style>
  <w:style w:type="paragraph" w:styleId="951" w:customStyle="1">
    <w:name w:val="Основной текст (2)"/>
    <w:basedOn w:val="731"/>
    <w:link w:val="908"/>
    <w:qFormat/>
    <w:pPr>
      <w:jc w:val="right"/>
      <w:spacing w:line="0" w:lineRule="atLeast"/>
    </w:pPr>
  </w:style>
  <w:style w:type="paragraph" w:styleId="952" w:customStyle="1">
    <w:name w:val="Заголовок №1"/>
    <w:basedOn w:val="731"/>
    <w:link w:val="909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53" w:customStyle="1">
    <w:name w:val="Основной текст (3)"/>
    <w:basedOn w:val="731"/>
    <w:link w:val="910"/>
    <w:qFormat/>
    <w:pPr>
      <w:jc w:val="center"/>
      <w:spacing w:before="540" w:after="6420" w:line="370" w:lineRule="exact"/>
    </w:pPr>
    <w:rPr>
      <w:b/>
      <w:bCs/>
    </w:rPr>
  </w:style>
  <w:style w:type="paragraph" w:styleId="954" w:customStyle="1">
    <w:name w:val="Подпись к таблице"/>
    <w:basedOn w:val="731"/>
    <w:link w:val="911"/>
    <w:qFormat/>
    <w:pPr>
      <w:spacing w:line="0" w:lineRule="atLeast"/>
    </w:pPr>
  </w:style>
  <w:style w:type="paragraph" w:styleId="955" w:customStyle="1">
    <w:name w:val="Колонтитул"/>
    <w:basedOn w:val="731"/>
    <w:link w:val="913"/>
    <w:qFormat/>
    <w:pPr>
      <w:spacing w:line="0" w:lineRule="atLeast"/>
    </w:pPr>
    <w:rPr>
      <w:i/>
      <w:iCs/>
    </w:rPr>
  </w:style>
  <w:style w:type="paragraph" w:styleId="956" w:customStyle="1">
    <w:name w:val="Основной текст (4)"/>
    <w:basedOn w:val="731"/>
    <w:link w:val="917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7" w:customStyle="1">
    <w:name w:val="Основной текст (5)"/>
    <w:basedOn w:val="731"/>
    <w:link w:val="918"/>
    <w:qFormat/>
    <w:pPr>
      <w:spacing w:line="384" w:lineRule="exact"/>
    </w:pPr>
    <w:rPr>
      <w:i/>
      <w:iCs/>
      <w:sz w:val="21"/>
      <w:szCs w:val="21"/>
    </w:rPr>
  </w:style>
  <w:style w:type="paragraph" w:styleId="958" w:customStyle="1">
    <w:name w:val="Основной текст (6)"/>
    <w:basedOn w:val="731"/>
    <w:link w:val="920"/>
    <w:qFormat/>
    <w:pPr>
      <w:spacing w:before="360" w:after="360" w:line="0" w:lineRule="atLeast"/>
    </w:pPr>
    <w:rPr>
      <w:i/>
      <w:iCs/>
    </w:rPr>
  </w:style>
  <w:style w:type="paragraph" w:styleId="959" w:customStyle="1">
    <w:name w:val="Подпись к картинке"/>
    <w:basedOn w:val="731"/>
    <w:link w:val="921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60" w:customStyle="1">
    <w:name w:val="Подпись к картинке (2)"/>
    <w:basedOn w:val="731"/>
    <w:link w:val="924"/>
    <w:qFormat/>
    <w:pPr>
      <w:spacing w:before="120" w:line="0" w:lineRule="atLeast"/>
    </w:pPr>
    <w:rPr>
      <w:i/>
      <w:iCs/>
    </w:rPr>
  </w:style>
  <w:style w:type="paragraph" w:styleId="961" w:customStyle="1">
    <w:name w:val="Подпись к картинке (3)"/>
    <w:basedOn w:val="731"/>
    <w:link w:val="927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62" w:customStyle="1">
    <w:name w:val="Основной текст (9)"/>
    <w:basedOn w:val="731"/>
    <w:link w:val="929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63" w:customStyle="1">
    <w:name w:val="Основной текст (7)"/>
    <w:basedOn w:val="731"/>
    <w:link w:val="931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4" w:customStyle="1">
    <w:name w:val="Основной текст (8)"/>
    <w:basedOn w:val="731"/>
    <w:link w:val="935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5">
    <w:name w:val="Header"/>
    <w:basedOn w:val="731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6">
    <w:name w:val="Footer"/>
    <w:basedOn w:val="731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7">
    <w:name w:val="List Paragraph"/>
    <w:basedOn w:val="731"/>
    <w:link w:val="940"/>
    <w:uiPriority w:val="34"/>
    <w:qFormat/>
    <w:pPr>
      <w:contextualSpacing/>
      <w:ind w:left="720"/>
    </w:pPr>
  </w:style>
  <w:style w:type="paragraph" w:styleId="968" w:customStyle="1">
    <w:name w:val="Перечисление"/>
    <w:basedOn w:val="967"/>
    <w:link w:val="941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9">
    <w:name w:val="Balloon Text"/>
    <w:basedOn w:val="731"/>
    <w:link w:val="942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70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71">
    <w:name w:val="Title"/>
    <w:basedOn w:val="731"/>
    <w:link w:val="943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72" w:customStyle="1">
    <w:name w:val="Основной текст2"/>
    <w:basedOn w:val="731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73">
    <w:name w:val="Normal (Web)"/>
    <w:basedOn w:val="731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4" w:customStyle="1">
    <w:name w:val="docdata"/>
    <w:basedOn w:val="731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5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6" w:customStyle="1">
    <w:name w:val="Без интервала"/>
    <w:next w:val="882"/>
    <w:link w:val="864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77" w:customStyle="1">
    <w:name w:val="Гиперссылка"/>
    <w:rPr>
      <w:color w:val="0066cc"/>
      <w:u w:val="single"/>
    </w:rPr>
  </w:style>
  <w:style w:type="paragraph" w:styleId="978" w:customStyle="1">
    <w:name w:val="Обычный (веб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https://internet.garant.ru/#/document/406279331/entry/1004" TargetMode="External"/><Relationship Id="rId16" Type="http://schemas.openxmlformats.org/officeDocument/2006/relationships/hyperlink" Target="https://internet.garant.ru/#/document/406279331/entry/10046" TargetMode="External"/><Relationship Id="rId17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90</cp:revision>
  <dcterms:created xsi:type="dcterms:W3CDTF">2024-08-22T08:08:00Z</dcterms:created>
  <dcterms:modified xsi:type="dcterms:W3CDTF">2026-02-05T08:07:18Z</dcterms:modified>
</cp:coreProperties>
</file>